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47E7F" w14:textId="77777777" w:rsidR="00653D36" w:rsidRDefault="00653D36"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center"/>
        <w:rPr>
          <w:rFonts w:ascii="DejaVu Serif" w:eastAsia="Calibri" w:hAnsi="DejaVu Serif" w:cs="Aptos Serif"/>
          <w:b/>
          <w:bCs/>
          <w:color w:val="7030A0"/>
          <w:sz w:val="8"/>
          <w:szCs w:val="8"/>
          <w:u w:val="single"/>
        </w:rPr>
      </w:pPr>
    </w:p>
    <w:p w14:paraId="0BBA5EFB" w14:textId="241AE94A"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center"/>
        <w:rPr>
          <w:rFonts w:ascii="DejaVu Serif" w:eastAsia="Calibri" w:hAnsi="DejaVu Serif" w:cs="Aptos Serif"/>
          <w:b/>
          <w:bCs/>
          <w:color w:val="7030A0"/>
          <w:sz w:val="48"/>
          <w:szCs w:val="48"/>
          <w:u w:val="single"/>
        </w:rPr>
      </w:pPr>
      <w:r w:rsidRPr="005E159D">
        <w:rPr>
          <w:rFonts w:ascii="DejaVu Serif" w:eastAsia="Calibri" w:hAnsi="DejaVu Serif" w:cs="Aptos Serif"/>
          <w:b/>
          <w:bCs/>
          <w:color w:val="7030A0"/>
          <w:sz w:val="48"/>
          <w:szCs w:val="48"/>
          <w:u w:val="single"/>
        </w:rPr>
        <w:t>Dealing With Delinquency</w:t>
      </w:r>
    </w:p>
    <w:p w14:paraId="07DA8739" w14:textId="77777777"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center"/>
        <w:rPr>
          <w:rFonts w:ascii="DejaVu Serif" w:eastAsia="Calibri" w:hAnsi="DejaVu Serif" w:cs="Aptos Serif"/>
          <w:sz w:val="24"/>
          <w:szCs w:val="24"/>
        </w:rPr>
      </w:pPr>
      <w:r w:rsidRPr="005E159D">
        <w:rPr>
          <w:rFonts w:ascii="DejaVu Serif" w:eastAsia="Calibri" w:hAnsi="DejaVu Serif" w:cs="Aptos Serif"/>
          <w:sz w:val="24"/>
          <w:szCs w:val="24"/>
        </w:rPr>
        <w:t>Jimmy Clark – East Pointe e-bulletin</w:t>
      </w:r>
    </w:p>
    <w:p w14:paraId="6582467C" w14:textId="77777777"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both"/>
        <w:rPr>
          <w:rFonts w:ascii="DejaVu Serif" w:eastAsia="Calibri" w:hAnsi="DejaVu Serif" w:cs="Aptos Serif"/>
          <w:sz w:val="24"/>
          <w:szCs w:val="24"/>
        </w:rPr>
      </w:pPr>
      <w:r w:rsidRPr="005E159D">
        <w:rPr>
          <w:rFonts w:ascii="DejaVu Serif" w:eastAsia="Calibri" w:hAnsi="DejaVu Serif" w:cs="Aptos Serif"/>
          <w:sz w:val="24"/>
          <w:szCs w:val="24"/>
        </w:rPr>
        <w:tab/>
      </w:r>
    </w:p>
    <w:p w14:paraId="30AD87BC" w14:textId="77777777" w:rsidR="00653D36"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center"/>
        <w:rPr>
          <w:rFonts w:ascii="DejaVu Serif" w:eastAsia="Calibri" w:hAnsi="DejaVu Serif" w:cs="Aptos Serif"/>
          <w:b/>
          <w:bCs/>
          <w:i/>
          <w:iCs/>
          <w:color w:val="7030A0"/>
        </w:rPr>
      </w:pPr>
      <w:r w:rsidRPr="005E159D">
        <w:rPr>
          <w:rFonts w:ascii="DejaVu Serif" w:eastAsia="Calibri" w:hAnsi="DejaVu Serif" w:cs="Aptos Serif"/>
          <w:b/>
          <w:bCs/>
          <w:i/>
          <w:iCs/>
          <w:color w:val="7030A0"/>
        </w:rPr>
        <w:t xml:space="preserve">“The kingdom of heaven is like unto a certain king, which made a marriage for his son, and sent forth his servants to call them that were bidden to </w:t>
      </w:r>
    </w:p>
    <w:p w14:paraId="51D6E667" w14:textId="1083F07C"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center"/>
        <w:rPr>
          <w:rFonts w:ascii="DejaVu Serif" w:eastAsia="Calibri" w:hAnsi="DejaVu Serif" w:cs="Aptos Serif"/>
        </w:rPr>
      </w:pPr>
      <w:r w:rsidRPr="005E159D">
        <w:rPr>
          <w:rFonts w:ascii="DejaVu Serif" w:eastAsia="Calibri" w:hAnsi="DejaVu Serif" w:cs="Aptos Serif"/>
          <w:b/>
          <w:bCs/>
          <w:i/>
          <w:iCs/>
          <w:color w:val="7030A0"/>
        </w:rPr>
        <w:t>the wedding; and they would not come.”</w:t>
      </w:r>
      <w:r w:rsidRPr="005E159D">
        <w:rPr>
          <w:rFonts w:ascii="DejaVu Serif" w:eastAsia="Calibri" w:hAnsi="DejaVu Serif" w:cs="Aptos Serif"/>
        </w:rPr>
        <w:t xml:space="preserve">  </w:t>
      </w:r>
      <w:r w:rsidRPr="005E159D">
        <w:rPr>
          <w:rFonts w:ascii="DejaVu Serif" w:eastAsia="Calibri" w:hAnsi="DejaVu Serif" w:cs="Aptos Serif"/>
          <w:b/>
          <w:bCs/>
          <w:color w:val="7030A0"/>
        </w:rPr>
        <w:t>Matthew 22:2-23</w:t>
      </w:r>
    </w:p>
    <w:p w14:paraId="3C51D1B6" w14:textId="77777777"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both"/>
        <w:rPr>
          <w:rFonts w:ascii="DejaVu Serif" w:eastAsia="Calibri" w:hAnsi="DejaVu Serif" w:cs="Aptos Serif"/>
          <w:sz w:val="24"/>
          <w:szCs w:val="24"/>
        </w:rPr>
      </w:pPr>
    </w:p>
    <w:p w14:paraId="29E71A38" w14:textId="557D3B04"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both"/>
        <w:rPr>
          <w:rFonts w:ascii="DejaVu Serif" w:eastAsia="Calibri" w:hAnsi="DejaVu Serif" w:cs="Aptos Serif"/>
        </w:rPr>
      </w:pPr>
      <w:r>
        <w:rPr>
          <w:rFonts w:ascii="DejaVu Serif" w:eastAsia="Calibri" w:hAnsi="DejaVu Serif" w:cs="Aptos Serif"/>
          <w:sz w:val="24"/>
          <w:szCs w:val="24"/>
        </w:rPr>
        <w:tab/>
      </w:r>
      <w:r w:rsidRPr="005E159D">
        <w:rPr>
          <w:rFonts w:ascii="DejaVu Serif" w:eastAsia="Calibri" w:hAnsi="DejaVu Serif" w:cs="Aptos Serif"/>
        </w:rPr>
        <w:t xml:space="preserve">The beginning words of this parable indicate a great opportunity being offered to people and yet certain ones would not attend.  Today, many congregations face the fact that delinquency in attending the services of the church is a real problem needing to be addressed.  Forsaking the attending is explicitly rebuked in </w:t>
      </w:r>
      <w:r w:rsidRPr="005E159D">
        <w:rPr>
          <w:rFonts w:ascii="DejaVu Serif" w:eastAsia="Calibri" w:hAnsi="DejaVu Serif" w:cs="Aptos Serif"/>
          <w:b/>
          <w:bCs/>
          <w:color w:val="7030A0"/>
        </w:rPr>
        <w:t>Hebrews 10:24-25</w:t>
      </w:r>
      <w:r w:rsidRPr="005E159D">
        <w:rPr>
          <w:rFonts w:ascii="DejaVu Serif" w:eastAsia="Calibri" w:hAnsi="DejaVu Serif" w:cs="Aptos Serif"/>
        </w:rPr>
        <w:t>.  Neglecting the services is equally an issue that can and often does lead to forsaking.  Some seem not to sense the seriousness of their lack of attendance or even their sporadic attendance.  Consider three areas of life under the topic of delinquency that can give greater clarity to the seriousness of the problem.</w:t>
      </w:r>
    </w:p>
    <w:p w14:paraId="21E5ADCA" w14:textId="6BEB1FCA"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both"/>
        <w:rPr>
          <w:rFonts w:ascii="DejaVu Serif" w:eastAsia="Calibri" w:hAnsi="DejaVu Serif" w:cs="Aptos Serif"/>
        </w:rPr>
      </w:pPr>
      <w:r w:rsidRPr="005E159D">
        <w:rPr>
          <w:rFonts w:ascii="DejaVu Serif" w:eastAsia="Calibri" w:hAnsi="DejaVu Serif" w:cs="Aptos Serif"/>
        </w:rPr>
        <w:tab/>
      </w:r>
      <w:r w:rsidRPr="005E159D">
        <w:rPr>
          <w:rFonts w:ascii="DejaVu Serif" w:eastAsia="Calibri" w:hAnsi="DejaVu Serif" w:cs="Aptos Serif"/>
          <w:b/>
          <w:bCs/>
          <w:color w:val="7030A0"/>
          <w:u w:val="single"/>
        </w:rPr>
        <w:t xml:space="preserve">1. </w:t>
      </w:r>
      <w:r w:rsidRPr="005E159D">
        <w:rPr>
          <w:rFonts w:ascii="DejaVu Serif" w:eastAsia="Calibri" w:hAnsi="DejaVu Serif" w:cs="Aptos Serif"/>
          <w:b/>
          <w:bCs/>
          <w:color w:val="7030A0"/>
          <w:u w:val="single"/>
        </w:rPr>
        <w:t>In A Marriage</w:t>
      </w:r>
      <w:r w:rsidRPr="005E159D">
        <w:rPr>
          <w:rFonts w:ascii="DejaVu Serif" w:eastAsia="Calibri" w:hAnsi="DejaVu Serif" w:cs="Aptos Serif"/>
          <w:b/>
          <w:bCs/>
          <w:color w:val="7030A0"/>
        </w:rPr>
        <w:t>.</w:t>
      </w:r>
      <w:r w:rsidRPr="005E159D">
        <w:rPr>
          <w:rFonts w:ascii="DejaVu Serif" w:eastAsia="Calibri" w:hAnsi="DejaVu Serif" w:cs="Aptos Serif"/>
        </w:rPr>
        <w:t xml:space="preserve">  How would delinquency be viewed in a marriage?  Suppose a husband or wife chose to be absent from the relationship for a time without any justifiable reason?  Later, that same husband or wife comes back acting as though nothing had really changed in the relationship while being delinquent from the home.  Does the neglected spouse simpl</w:t>
      </w:r>
      <w:r w:rsidRPr="005E159D">
        <w:rPr>
          <w:rFonts w:ascii="DejaVu Serif" w:eastAsia="Calibri" w:hAnsi="DejaVu Serif" w:cs="Aptos Serif"/>
        </w:rPr>
        <w:t>y</w:t>
      </w:r>
      <w:r w:rsidRPr="005E159D">
        <w:rPr>
          <w:rFonts w:ascii="DejaVu Serif" w:eastAsia="Calibri" w:hAnsi="DejaVu Serif" w:cs="Aptos Serif"/>
        </w:rPr>
        <w:t xml:space="preserve"> ignore the delinquency and live as though such was a not serious problem to the marriage?  What if such happens again</w:t>
      </w:r>
      <w:r w:rsidRPr="005E159D">
        <w:rPr>
          <w:rFonts w:ascii="DejaVu Serif" w:eastAsia="Calibri" w:hAnsi="DejaVu Serif" w:cs="Aptos Serif"/>
        </w:rPr>
        <w:t>…</w:t>
      </w:r>
      <w:r w:rsidRPr="005E159D">
        <w:rPr>
          <w:rFonts w:ascii="DejaVu Serif" w:eastAsia="Calibri" w:hAnsi="DejaVu Serif" w:cs="Aptos Serif"/>
        </w:rPr>
        <w:t xml:space="preserve"> and again</w:t>
      </w:r>
      <w:r w:rsidRPr="005E159D">
        <w:rPr>
          <w:rFonts w:ascii="DejaVu Serif" w:eastAsia="Calibri" w:hAnsi="DejaVu Serif" w:cs="Aptos Serif"/>
        </w:rPr>
        <w:t>…</w:t>
      </w:r>
      <w:r w:rsidRPr="005E159D">
        <w:rPr>
          <w:rFonts w:ascii="DejaVu Serif" w:eastAsia="Calibri" w:hAnsi="DejaVu Serif" w:cs="Aptos Serif"/>
        </w:rPr>
        <w:t xml:space="preserve"> and again?  Surely, the honest mind can see that such delinquency is not acceptable.  When one obeys the gospel, the convert is married to Christ (</w:t>
      </w:r>
      <w:r w:rsidRPr="005E159D">
        <w:rPr>
          <w:rFonts w:ascii="DejaVu Serif" w:eastAsia="Calibri" w:hAnsi="DejaVu Serif" w:cs="Aptos Serif"/>
          <w:b/>
          <w:bCs/>
          <w:color w:val="7030A0"/>
        </w:rPr>
        <w:t>Romans 7:4; 2 Corinthians 11:2</w:t>
      </w:r>
      <w:r w:rsidRPr="005E159D">
        <w:rPr>
          <w:rFonts w:ascii="DejaVu Serif" w:eastAsia="Calibri" w:hAnsi="DejaVu Serif" w:cs="Aptos Serif"/>
        </w:rPr>
        <w:t>).  Commitment to Christ is liken unto a commitment in marriage.</w:t>
      </w:r>
    </w:p>
    <w:p w14:paraId="0348D0E3" w14:textId="3CED9157" w:rsidR="005E159D" w:rsidRPr="005E159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both"/>
        <w:rPr>
          <w:rFonts w:ascii="DejaVu Serif" w:eastAsia="Calibri" w:hAnsi="DejaVu Serif" w:cs="Aptos Serif"/>
        </w:rPr>
      </w:pPr>
      <w:r w:rsidRPr="005E159D">
        <w:rPr>
          <w:rFonts w:ascii="DejaVu Serif" w:eastAsia="Calibri" w:hAnsi="DejaVu Serif" w:cs="Aptos Serif"/>
        </w:rPr>
        <w:tab/>
      </w:r>
      <w:r w:rsidRPr="005E159D">
        <w:rPr>
          <w:rFonts w:ascii="DejaVu Serif" w:eastAsia="Calibri" w:hAnsi="DejaVu Serif" w:cs="Aptos Serif"/>
          <w:b/>
          <w:bCs/>
          <w:color w:val="7030A0"/>
          <w:u w:val="single"/>
        </w:rPr>
        <w:t xml:space="preserve">2. </w:t>
      </w:r>
      <w:r w:rsidRPr="005E159D">
        <w:rPr>
          <w:rFonts w:ascii="DejaVu Serif" w:eastAsia="Calibri" w:hAnsi="DejaVu Serif" w:cs="Aptos Serif"/>
          <w:b/>
          <w:bCs/>
          <w:color w:val="7030A0"/>
          <w:u w:val="single"/>
        </w:rPr>
        <w:t>In The Marketplace</w:t>
      </w:r>
      <w:r w:rsidRPr="005E159D">
        <w:rPr>
          <w:rFonts w:ascii="DejaVu Serif" w:eastAsia="Calibri" w:hAnsi="DejaVu Serif" w:cs="Aptos Serif"/>
        </w:rPr>
        <w:t>.  How would delinquency be viewed in the marketplace or workplace?  If one is working for another and the worker simply chooses to leave without fulfilling his/her obligation, what is the employer to do?  What if the employee shows up for work occasionally or even seasonally?  Does anyone believe that such an employee is going to be retained very long?  The Bible teaches that a convert is a servant in the kingdom (</w:t>
      </w:r>
      <w:r w:rsidRPr="005E159D">
        <w:rPr>
          <w:rFonts w:ascii="DejaVu Serif" w:eastAsia="Calibri" w:hAnsi="DejaVu Serif" w:cs="Aptos Serif"/>
          <w:b/>
          <w:bCs/>
          <w:color w:val="7030A0"/>
        </w:rPr>
        <w:t>Matthew 25:14</w:t>
      </w:r>
      <w:r w:rsidRPr="005E159D">
        <w:rPr>
          <w:rFonts w:ascii="DejaVu Serif" w:eastAsia="Calibri" w:hAnsi="DejaVu Serif" w:cs="Aptos Serif"/>
        </w:rPr>
        <w:t>) as well as a laborer in the Lord’s vineyard (</w:t>
      </w:r>
      <w:r w:rsidRPr="005E159D">
        <w:rPr>
          <w:rFonts w:ascii="DejaVu Serif" w:eastAsia="Calibri" w:hAnsi="DejaVu Serif" w:cs="Aptos Serif"/>
          <w:b/>
          <w:bCs/>
          <w:color w:val="7030A0"/>
        </w:rPr>
        <w:t>Matthew 20:1</w:t>
      </w:r>
      <w:r w:rsidRPr="005E159D">
        <w:rPr>
          <w:rFonts w:ascii="DejaVu Serif" w:eastAsia="Calibri" w:hAnsi="DejaVu Serif" w:cs="Aptos Serif"/>
        </w:rPr>
        <w:t>).  As faithfulness is required of those who work for another, so it is equally true of those who work for the Lord (</w:t>
      </w:r>
      <w:r w:rsidRPr="005E159D">
        <w:rPr>
          <w:rFonts w:ascii="DejaVu Serif" w:eastAsia="Calibri" w:hAnsi="DejaVu Serif" w:cs="Aptos Serif"/>
          <w:b/>
          <w:bCs/>
          <w:color w:val="7030A0"/>
        </w:rPr>
        <w:t>1 Corinthians 4:2</w:t>
      </w:r>
      <w:r w:rsidRPr="005E159D">
        <w:rPr>
          <w:rFonts w:ascii="DejaVu Serif" w:eastAsia="Calibri" w:hAnsi="DejaVu Serif" w:cs="Aptos Serif"/>
        </w:rPr>
        <w:t>)</w:t>
      </w:r>
    </w:p>
    <w:p w14:paraId="59E74EF9" w14:textId="0C3D041A" w:rsidR="008D688D" w:rsidRDefault="005E159D"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both"/>
        <w:rPr>
          <w:rFonts w:ascii="DejaVu Serif" w:eastAsia="Calibri" w:hAnsi="DejaVu Serif" w:cs="Aptos Serif"/>
        </w:rPr>
      </w:pPr>
      <w:r w:rsidRPr="005E159D">
        <w:rPr>
          <w:rFonts w:ascii="DejaVu Serif" w:eastAsia="Calibri" w:hAnsi="DejaVu Serif" w:cs="Aptos Serif"/>
        </w:rPr>
        <w:tab/>
      </w:r>
      <w:r w:rsidRPr="005E159D">
        <w:rPr>
          <w:rFonts w:ascii="DejaVu Serif" w:eastAsia="Calibri" w:hAnsi="DejaVu Serif" w:cs="Aptos Serif"/>
          <w:b/>
          <w:bCs/>
          <w:color w:val="7030A0"/>
          <w:u w:val="single"/>
        </w:rPr>
        <w:t xml:space="preserve">3. </w:t>
      </w:r>
      <w:r w:rsidRPr="005E159D">
        <w:rPr>
          <w:rFonts w:ascii="DejaVu Serif" w:eastAsia="Calibri" w:hAnsi="DejaVu Serif" w:cs="Aptos Serif"/>
          <w:b/>
          <w:bCs/>
          <w:color w:val="7030A0"/>
          <w:u w:val="single"/>
        </w:rPr>
        <w:t>In The Military</w:t>
      </w:r>
      <w:r w:rsidRPr="005E159D">
        <w:rPr>
          <w:rFonts w:ascii="DejaVu Serif" w:eastAsia="Calibri" w:hAnsi="DejaVu Serif" w:cs="Aptos Serif"/>
        </w:rPr>
        <w:t xml:space="preserve">.  How would delinquency be viewed in the military?  Can any imagine a soldier, whether an officer or not, deciding that they would serve in that capacity only when it was convenient?  Being absent without leave is not taken lightly in the military.  Whoever does so faces serious consequences.  The Bible teaches that a convert is a soldier of Jesus Christ.  Paul wrote to Timothy in </w:t>
      </w:r>
      <w:r w:rsidRPr="005E159D">
        <w:rPr>
          <w:rFonts w:ascii="DejaVu Serif" w:eastAsia="Calibri" w:hAnsi="DejaVu Serif" w:cs="Aptos Serif"/>
          <w:b/>
          <w:bCs/>
          <w:color w:val="7030A0"/>
        </w:rPr>
        <w:t>2 Timothy 2</w:t>
      </w:r>
      <w:r w:rsidRPr="005E159D">
        <w:rPr>
          <w:rFonts w:ascii="DejaVu Serif" w:eastAsia="Calibri" w:hAnsi="DejaVu Serif" w:cs="Aptos Serif"/>
          <w:b/>
          <w:bCs/>
          <w:color w:val="7030A0"/>
        </w:rPr>
        <w:t>:</w:t>
      </w:r>
      <w:r w:rsidRPr="005E159D">
        <w:rPr>
          <w:rFonts w:ascii="DejaVu Serif" w:eastAsia="Calibri" w:hAnsi="DejaVu Serif" w:cs="Aptos Serif"/>
          <w:b/>
          <w:bCs/>
          <w:color w:val="7030A0"/>
        </w:rPr>
        <w:t>3-4</w:t>
      </w:r>
      <w:r w:rsidRPr="005E159D">
        <w:rPr>
          <w:rFonts w:ascii="DejaVu Serif" w:eastAsia="Calibri" w:hAnsi="DejaVu Serif" w:cs="Aptos Serif"/>
        </w:rPr>
        <w:t xml:space="preserve">, </w:t>
      </w:r>
      <w:r w:rsidRPr="005E159D">
        <w:rPr>
          <w:rFonts w:ascii="DejaVu Serif" w:eastAsia="Calibri" w:hAnsi="DejaVu Serif" w:cs="Aptos Serif"/>
          <w:b/>
          <w:bCs/>
          <w:i/>
          <w:iCs/>
          <w:color w:val="7030A0"/>
        </w:rPr>
        <w:t>“Tho</w:t>
      </w:r>
      <w:r w:rsidRPr="005E159D">
        <w:rPr>
          <w:rFonts w:ascii="DejaVu Serif" w:eastAsia="Calibri" w:hAnsi="DejaVu Serif" w:cs="Aptos Serif"/>
          <w:b/>
          <w:bCs/>
          <w:i/>
          <w:iCs/>
          <w:color w:val="7030A0"/>
        </w:rPr>
        <w:t>u</w:t>
      </w:r>
      <w:r w:rsidRPr="005E159D">
        <w:rPr>
          <w:rFonts w:ascii="DejaVu Serif" w:eastAsia="Calibri" w:hAnsi="DejaVu Serif" w:cs="Aptos Serif"/>
          <w:b/>
          <w:bCs/>
          <w:i/>
          <w:iCs/>
          <w:color w:val="7030A0"/>
        </w:rPr>
        <w:t xml:space="preserve"> therefore endure hardship, as a good soldier of Jesus Christ.  No man that warreth entangleth himself with the affairs of this life; that he please him who hath chosen him to be a good soldier.”</w:t>
      </w:r>
      <w:r w:rsidRPr="005E159D">
        <w:rPr>
          <w:rFonts w:ascii="DejaVu Serif" w:eastAsia="Calibri" w:hAnsi="DejaVu Serif" w:cs="Aptos Serif"/>
        </w:rPr>
        <w:t xml:space="preserve">  If one is to be victorious in the spiritual battle of fighting the good fight of faith (</w:t>
      </w:r>
      <w:r w:rsidRPr="005E159D">
        <w:rPr>
          <w:rFonts w:ascii="DejaVu Serif" w:eastAsia="Calibri" w:hAnsi="DejaVu Serif" w:cs="Aptos Serif"/>
          <w:b/>
          <w:bCs/>
          <w:color w:val="7030A0"/>
        </w:rPr>
        <w:t>1 Timothy 6:12</w:t>
      </w:r>
      <w:r w:rsidRPr="005E159D">
        <w:rPr>
          <w:rFonts w:ascii="DejaVu Serif" w:eastAsia="Calibri" w:hAnsi="DejaVu Serif" w:cs="Aptos Serif"/>
        </w:rPr>
        <w:t>), delinquency in service is not an option.  The crown of righteousness (</w:t>
      </w:r>
      <w:r w:rsidRPr="005E159D">
        <w:rPr>
          <w:rFonts w:ascii="DejaVu Serif" w:eastAsia="Calibri" w:hAnsi="DejaVu Serif" w:cs="Aptos Serif"/>
          <w:b/>
          <w:bCs/>
          <w:color w:val="7030A0"/>
        </w:rPr>
        <w:t>2 Timothy 4:8</w:t>
      </w:r>
      <w:r w:rsidRPr="005E159D">
        <w:rPr>
          <w:rFonts w:ascii="DejaVu Serif" w:eastAsia="Calibri" w:hAnsi="DejaVu Serif" w:cs="Aptos Serif"/>
        </w:rPr>
        <w:t xml:space="preserve">) is for those who, like Paul, can say, </w:t>
      </w:r>
      <w:r w:rsidRPr="005E159D">
        <w:rPr>
          <w:rFonts w:ascii="DejaVu Serif" w:eastAsia="Calibri" w:hAnsi="DejaVu Serif" w:cs="Aptos Serif"/>
          <w:b/>
          <w:bCs/>
          <w:color w:val="7030A0"/>
        </w:rPr>
        <w:t>“I have fought the good fight, I have finished my course, I have kept the faith</w:t>
      </w:r>
      <w:r w:rsidRPr="005E159D">
        <w:rPr>
          <w:rFonts w:ascii="DejaVu Serif" w:eastAsia="Calibri" w:hAnsi="DejaVu Serif" w:cs="Aptos Serif"/>
          <w:b/>
          <w:bCs/>
          <w:color w:val="7030A0"/>
        </w:rPr>
        <w:t>”</w:t>
      </w:r>
      <w:r w:rsidRPr="005E159D">
        <w:rPr>
          <w:rFonts w:ascii="DejaVu Serif" w:eastAsia="Calibri" w:hAnsi="DejaVu Serif" w:cs="Aptos Serif"/>
        </w:rPr>
        <w:t xml:space="preserve"> (</w:t>
      </w:r>
      <w:r w:rsidRPr="005E159D">
        <w:rPr>
          <w:rFonts w:ascii="DejaVu Serif" w:eastAsia="Calibri" w:hAnsi="DejaVu Serif" w:cs="Aptos Serif"/>
          <w:b/>
          <w:bCs/>
          <w:color w:val="7030A0"/>
        </w:rPr>
        <w:t>2 Timothy 4:7</w:t>
      </w:r>
      <w:r w:rsidRPr="005E159D">
        <w:rPr>
          <w:rFonts w:ascii="DejaVu Serif" w:eastAsia="Calibri" w:hAnsi="DejaVu Serif" w:cs="Aptos Serif"/>
        </w:rPr>
        <w:t xml:space="preserve">).  The clarity of delinquency in these three specifics shows that neglecting the service of God whether in worship or work is not a measure of a faithful child of God. </w:t>
      </w:r>
    </w:p>
    <w:p w14:paraId="65D50C1F" w14:textId="77777777" w:rsidR="00653D36" w:rsidRDefault="00653D36"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both"/>
        <w:rPr>
          <w:rFonts w:ascii="DejaVu Serif" w:eastAsia="Calibri" w:hAnsi="DejaVu Serif" w:cs="Aptos Serif"/>
        </w:rPr>
      </w:pPr>
    </w:p>
    <w:p w14:paraId="3EBB1FD6" w14:textId="22FBC96C" w:rsidR="00653D36" w:rsidRPr="00653D36" w:rsidRDefault="00653D36"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center"/>
        <w:rPr>
          <w:rFonts w:ascii="DejaVu Serif" w:eastAsia="Calibri" w:hAnsi="DejaVu Serif" w:cs="Aptos Serif"/>
          <w:b/>
          <w:bCs/>
          <w:i/>
          <w:iCs/>
          <w:color w:val="7030A0"/>
          <w:sz w:val="32"/>
          <w:szCs w:val="32"/>
        </w:rPr>
      </w:pPr>
      <w:r w:rsidRPr="00653D36">
        <w:rPr>
          <w:rFonts w:ascii="DejaVu Serif" w:eastAsia="Calibri" w:hAnsi="DejaVu Serif" w:cs="Aptos Serif"/>
          <w:b/>
          <w:bCs/>
          <w:i/>
          <w:iCs/>
          <w:color w:val="7030A0"/>
          <w:sz w:val="32"/>
          <w:szCs w:val="32"/>
        </w:rPr>
        <w:t>“All things are ready… come to the feast…”</w:t>
      </w:r>
    </w:p>
    <w:p w14:paraId="6BC5F37D" w14:textId="77777777" w:rsidR="00653D36" w:rsidRPr="00653D36" w:rsidRDefault="00653D36" w:rsidP="00653D36">
      <w:pPr>
        <w:pBdr>
          <w:top w:val="thinThickSmallGap" w:sz="24" w:space="1" w:color="7030A0"/>
          <w:left w:val="thinThickSmallGap" w:sz="24" w:space="4" w:color="7030A0"/>
          <w:bottom w:val="thickThinSmallGap" w:sz="24" w:space="1" w:color="7030A0"/>
          <w:right w:val="thickThinSmallGap" w:sz="24" w:space="4" w:color="7030A0"/>
        </w:pBdr>
        <w:shd w:val="clear" w:color="auto" w:fill="FEF2E8"/>
        <w:spacing w:after="0" w:line="240" w:lineRule="auto"/>
        <w:jc w:val="center"/>
        <w:rPr>
          <w:rFonts w:ascii="DejaVu Serif" w:eastAsia="Calibri" w:hAnsi="DejaVu Serif" w:cs="Aptos Serif"/>
          <w:b/>
          <w:bCs/>
          <w:color w:val="7030A0"/>
          <w:sz w:val="8"/>
          <w:szCs w:val="8"/>
        </w:rPr>
      </w:pPr>
    </w:p>
    <w:sectPr w:rsidR="00653D36" w:rsidRPr="00653D36" w:rsidSect="005E159D">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erif">
    <w:panose1 w:val="02060603050605020204"/>
    <w:charset w:val="00"/>
    <w:family w:val="roman"/>
    <w:pitch w:val="variable"/>
    <w:sig w:usb0="E50006FF" w:usb1="5200F9FB" w:usb2="0A040020" w:usb3="00000000" w:csb0="0000009F" w:csb1="00000000"/>
  </w:font>
  <w:font w:name="Aptos Serif">
    <w:charset w:val="00"/>
    <w:family w:val="roman"/>
    <w:pitch w:val="variable"/>
    <w:sig w:usb0="A11526FF" w:usb1="C000ECFB" w:usb2="0001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9D"/>
    <w:rsid w:val="0048311C"/>
    <w:rsid w:val="005E159D"/>
    <w:rsid w:val="00653D36"/>
    <w:rsid w:val="00894243"/>
    <w:rsid w:val="008D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C8EA2"/>
  <w15:chartTrackingRefBased/>
  <w15:docId w15:val="{8861EBF9-9119-4D70-9031-7DB23C5ED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15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E15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E159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E159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E159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E15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15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15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15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59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E159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E159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E159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E159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E15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15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15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159D"/>
    <w:rPr>
      <w:rFonts w:eastAsiaTheme="majorEastAsia" w:cstheme="majorBidi"/>
      <w:color w:val="272727" w:themeColor="text1" w:themeTint="D8"/>
    </w:rPr>
  </w:style>
  <w:style w:type="paragraph" w:styleId="Title">
    <w:name w:val="Title"/>
    <w:basedOn w:val="Normal"/>
    <w:next w:val="Normal"/>
    <w:link w:val="TitleChar"/>
    <w:uiPriority w:val="10"/>
    <w:qFormat/>
    <w:rsid w:val="005E15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15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15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15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15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E159D"/>
    <w:rPr>
      <w:i/>
      <w:iCs/>
      <w:color w:val="404040" w:themeColor="text1" w:themeTint="BF"/>
    </w:rPr>
  </w:style>
  <w:style w:type="paragraph" w:styleId="ListParagraph">
    <w:name w:val="List Paragraph"/>
    <w:basedOn w:val="Normal"/>
    <w:uiPriority w:val="34"/>
    <w:qFormat/>
    <w:rsid w:val="005E159D"/>
    <w:pPr>
      <w:ind w:left="720"/>
      <w:contextualSpacing/>
    </w:pPr>
  </w:style>
  <w:style w:type="character" w:styleId="IntenseEmphasis">
    <w:name w:val="Intense Emphasis"/>
    <w:basedOn w:val="DefaultParagraphFont"/>
    <w:uiPriority w:val="21"/>
    <w:qFormat/>
    <w:rsid w:val="005E159D"/>
    <w:rPr>
      <w:i/>
      <w:iCs/>
      <w:color w:val="365F91" w:themeColor="accent1" w:themeShade="BF"/>
    </w:rPr>
  </w:style>
  <w:style w:type="paragraph" w:styleId="IntenseQuote">
    <w:name w:val="Intense Quote"/>
    <w:basedOn w:val="Normal"/>
    <w:next w:val="Normal"/>
    <w:link w:val="IntenseQuoteChar"/>
    <w:uiPriority w:val="30"/>
    <w:qFormat/>
    <w:rsid w:val="005E15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159D"/>
    <w:rPr>
      <w:i/>
      <w:iCs/>
      <w:color w:val="365F91" w:themeColor="accent1" w:themeShade="BF"/>
    </w:rPr>
  </w:style>
  <w:style w:type="character" w:styleId="IntenseReference">
    <w:name w:val="Intense Reference"/>
    <w:basedOn w:val="DefaultParagraphFont"/>
    <w:uiPriority w:val="32"/>
    <w:qFormat/>
    <w:rsid w:val="005E159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2025-08-18T21:25:00Z</cp:lastPrinted>
  <dcterms:created xsi:type="dcterms:W3CDTF">2025-08-18T21:08:00Z</dcterms:created>
  <dcterms:modified xsi:type="dcterms:W3CDTF">2025-08-18T21:28:00Z</dcterms:modified>
</cp:coreProperties>
</file>